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BB470ED">
      <w:pPr>
        <w:spacing w:line="560" w:lineRule="exact"/>
        <w:rPr>
          <w:rFonts w:hint="eastAsia" w:ascii="黑体" w:hAnsi="黑体" w:eastAsia="黑体" w:cs="黑体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</w:rPr>
        <w:t>附件2</w:t>
      </w:r>
    </w:p>
    <w:p w14:paraId="55830E8E">
      <w:pPr>
        <w:spacing w:line="560" w:lineRule="exact"/>
        <w:rPr>
          <w:rFonts w:hint="eastAsia" w:ascii="黑体" w:hAnsi="黑体" w:eastAsia="黑体" w:cs="黑体"/>
          <w:sz w:val="32"/>
          <w:szCs w:val="32"/>
        </w:rPr>
      </w:pPr>
    </w:p>
    <w:p w14:paraId="1C5AAD4C">
      <w:pPr>
        <w:spacing w:line="560" w:lineRule="exact"/>
        <w:jc w:val="center"/>
        <w:rPr>
          <w:rFonts w:hint="eastAsia" w:ascii="黑体" w:hAnsi="黑体" w:eastAsia="黑体" w:cs="黑体"/>
          <w:sz w:val="32"/>
          <w:szCs w:val="32"/>
        </w:rPr>
      </w:pPr>
      <w:bookmarkStart w:id="1" w:name="_GoBack"/>
      <w:bookmarkStart w:id="0" w:name="_Hlk233619691"/>
      <w:r>
        <w:rPr>
          <w:rFonts w:hint="eastAsia" w:ascii="黑体" w:hAnsi="黑体" w:eastAsia="黑体" w:cs="黑体"/>
          <w:sz w:val="32"/>
          <w:szCs w:val="32"/>
        </w:rPr>
        <w:t>案例申报材料撰写参考指引</w:t>
      </w:r>
      <w:bookmarkEnd w:id="1"/>
    </w:p>
    <w:bookmarkEnd w:id="0"/>
    <w:p w14:paraId="01965B61">
      <w:pPr>
        <w:spacing w:line="360" w:lineRule="auto"/>
        <w:jc w:val="left"/>
        <w:rPr>
          <w:rFonts w:hint="eastAsia" w:ascii="微软雅黑" w:hAnsi="微软雅黑" w:eastAsia="微软雅黑" w:cs="微软雅黑"/>
          <w:b/>
          <w:color w:val="0000FF"/>
          <w:kern w:val="0"/>
          <w:sz w:val="30"/>
          <w:szCs w:val="30"/>
          <w:shd w:val="clear" w:color="auto" w:fill="FFFFFF"/>
          <w:lang w:bidi="en-US"/>
        </w:rPr>
      </w:pPr>
    </w:p>
    <w:p w14:paraId="6587ECF6">
      <w:pPr>
        <w:spacing w:line="560" w:lineRule="exact"/>
        <w:ind w:firstLine="640" w:firstLineChars="200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案例名称：【请填写，建议格式：XX公司XX环节数字化转型案例】</w:t>
      </w:r>
    </w:p>
    <w:p w14:paraId="0271D4F9">
      <w:pPr>
        <w:spacing w:line="560" w:lineRule="exact"/>
        <w:ind w:firstLine="640" w:firstLineChars="200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申报单位：</w:t>
      </w:r>
    </w:p>
    <w:p w14:paraId="5EB2DC46">
      <w:pPr>
        <w:spacing w:line="560" w:lineRule="exact"/>
        <w:ind w:firstLine="640" w:firstLineChars="200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完成人：</w:t>
      </w:r>
    </w:p>
    <w:p w14:paraId="0BB8E9E4">
      <w:pPr>
        <w:spacing w:line="560" w:lineRule="exact"/>
        <w:ind w:firstLine="640" w:firstLineChars="200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覆盖方向：（勾选：</w:t>
      </w:r>
      <w:r>
        <w:rPr>
          <w:rFonts w:hint="eastAsia" w:ascii="仿宋" w:hAnsi="仿宋" w:eastAsia="仿宋" w:cs="仿宋"/>
          <w:sz w:val="32"/>
          <w:szCs w:val="32"/>
        </w:rPr>
        <w:sym w:font="Wingdings 2" w:char="00A3"/>
      </w:r>
      <w:r>
        <w:rPr>
          <w:rFonts w:hint="eastAsia" w:ascii="仿宋" w:hAnsi="仿宋" w:eastAsia="仿宋" w:cs="仿宋"/>
          <w:sz w:val="32"/>
          <w:szCs w:val="32"/>
        </w:rPr>
        <w:t xml:space="preserve"> 智能化改造与深度应用 </w:t>
      </w:r>
      <w:r>
        <w:rPr>
          <w:rFonts w:hint="eastAsia" w:ascii="仿宋" w:hAnsi="仿宋" w:eastAsia="仿宋" w:cs="仿宋"/>
          <w:sz w:val="32"/>
          <w:szCs w:val="32"/>
        </w:rPr>
        <w:sym w:font="Wingdings 2" w:char="00A3"/>
      </w:r>
      <w:r>
        <w:rPr>
          <w:rFonts w:hint="eastAsia" w:ascii="仿宋" w:hAnsi="仿宋" w:eastAsia="仿宋" w:cs="仿宋"/>
          <w:sz w:val="32"/>
          <w:szCs w:val="32"/>
        </w:rPr>
        <w:t xml:space="preserve">“链式”协同与生态融合 </w:t>
      </w:r>
      <w:r>
        <w:rPr>
          <w:rFonts w:hint="eastAsia" w:ascii="仿宋" w:hAnsi="仿宋" w:eastAsia="仿宋" w:cs="仿宋"/>
          <w:sz w:val="32"/>
          <w:szCs w:val="32"/>
        </w:rPr>
        <w:sym w:font="Wingdings 2" w:char="00A3"/>
      </w:r>
      <w:r>
        <w:rPr>
          <w:rFonts w:hint="eastAsia" w:ascii="仿宋" w:hAnsi="仿宋" w:eastAsia="仿宋" w:cs="仿宋"/>
          <w:sz w:val="32"/>
          <w:szCs w:val="32"/>
        </w:rPr>
        <w:t xml:space="preserve"> 平台化转型与公共服务）</w:t>
      </w:r>
    </w:p>
    <w:p w14:paraId="400FD712">
      <w:pPr>
        <w:spacing w:line="560" w:lineRule="exact"/>
        <w:ind w:firstLine="643" w:firstLineChars="200"/>
        <w:rPr>
          <w:rFonts w:hint="eastAsia" w:ascii="仿宋" w:hAnsi="仿宋" w:eastAsia="仿宋" w:cs="仿宋"/>
          <w:b/>
          <w:bCs/>
          <w:sz w:val="32"/>
          <w:szCs w:val="32"/>
        </w:rPr>
      </w:pPr>
      <w:r>
        <w:rPr>
          <w:rFonts w:hint="eastAsia" w:ascii="仿宋" w:hAnsi="仿宋" w:eastAsia="仿宋" w:cs="仿宋"/>
          <w:b/>
          <w:bCs/>
          <w:sz w:val="32"/>
          <w:szCs w:val="32"/>
        </w:rPr>
        <w:t>一、实施背景</w:t>
      </w:r>
    </w:p>
    <w:p w14:paraId="2EA94CD0">
      <w:pPr>
        <w:spacing w:line="560" w:lineRule="exact"/>
        <w:ind w:firstLine="640" w:firstLineChars="200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（请描述企业转型前的痛点、行业背景、竞争压力等，200-300字）</w:t>
      </w:r>
    </w:p>
    <w:p w14:paraId="294DBD3C">
      <w:pPr>
        <w:spacing w:line="560" w:lineRule="exact"/>
        <w:ind w:firstLine="640" w:firstLineChars="200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示例参考：</w:t>
      </w:r>
    </w:p>
    <w:p w14:paraId="65C7EB49">
      <w:pPr>
        <w:spacing w:line="560" w:lineRule="exact"/>
        <w:ind w:firstLine="640" w:firstLineChars="200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“我司是一家从事XX行业的制造企业，主要面临以下问题：1）生产排期靠人工经验，设备利用率不足60%；2）库存信息滞后，呆滞料占比高达15%；3）客户订单小批量多批次，交付周期难以满足要求……”</w:t>
      </w:r>
    </w:p>
    <w:p w14:paraId="2F2C8371">
      <w:pPr>
        <w:spacing w:line="560" w:lineRule="exact"/>
        <w:ind w:firstLine="643" w:firstLineChars="200"/>
        <w:rPr>
          <w:rFonts w:hint="eastAsia" w:ascii="仿宋" w:hAnsi="仿宋" w:eastAsia="仿宋" w:cs="仿宋"/>
          <w:b/>
          <w:bCs/>
          <w:sz w:val="32"/>
          <w:szCs w:val="32"/>
        </w:rPr>
      </w:pPr>
      <w:r>
        <w:rPr>
          <w:rFonts w:hint="eastAsia" w:ascii="仿宋" w:hAnsi="仿宋" w:eastAsia="仿宋" w:cs="仿宋"/>
          <w:b/>
          <w:bCs/>
          <w:sz w:val="32"/>
          <w:szCs w:val="32"/>
        </w:rPr>
        <w:t>二、实施目标</w:t>
      </w:r>
    </w:p>
    <w:p w14:paraId="1915C420">
      <w:pPr>
        <w:spacing w:line="560" w:lineRule="exact"/>
        <w:ind w:firstLine="640" w:firstLineChars="200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（列出2-3个可量化的核心目标，100-150字）</w:t>
      </w:r>
    </w:p>
    <w:p w14:paraId="68A9B6C8">
      <w:pPr>
        <w:spacing w:line="560" w:lineRule="exact"/>
        <w:ind w:firstLine="640" w:firstLineChars="200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示例参考：</w:t>
      </w:r>
    </w:p>
    <w:p w14:paraId="6D0CD86E">
      <w:pPr>
        <w:spacing w:line="560" w:lineRule="exact"/>
        <w:ind w:firstLine="640" w:firstLineChars="200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“本次数字化转型的核心目标为：1）将设备综合利用率提升至75%以上；2）将订单交付周期从15天压缩至7天以内；3）将库存周转率提升30%。”</w:t>
      </w:r>
    </w:p>
    <w:p w14:paraId="76FA2EB9">
      <w:pPr>
        <w:spacing w:line="560" w:lineRule="exact"/>
        <w:ind w:firstLine="643" w:firstLineChars="200"/>
        <w:rPr>
          <w:rFonts w:hint="eastAsia" w:ascii="仿宋" w:hAnsi="仿宋" w:eastAsia="仿宋" w:cs="仿宋"/>
          <w:b/>
          <w:bCs/>
          <w:sz w:val="32"/>
          <w:szCs w:val="32"/>
        </w:rPr>
      </w:pPr>
      <w:r>
        <w:rPr>
          <w:rFonts w:hint="eastAsia" w:ascii="仿宋" w:hAnsi="仿宋" w:eastAsia="仿宋" w:cs="仿宋"/>
          <w:b/>
          <w:bCs/>
          <w:sz w:val="32"/>
          <w:szCs w:val="32"/>
        </w:rPr>
        <w:t>三、建设内容</w:t>
      </w:r>
    </w:p>
    <w:p w14:paraId="339A5555">
      <w:pPr>
        <w:spacing w:line="560" w:lineRule="exact"/>
        <w:ind w:firstLine="640" w:firstLineChars="200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（按场景描述具体做法，500-800字。可按生产、供应链、管理等环节分点描述）</w:t>
      </w:r>
    </w:p>
    <w:p w14:paraId="79FE0AF0">
      <w:pPr>
        <w:spacing w:line="560" w:lineRule="exact"/>
        <w:ind w:firstLine="640" w:firstLineChars="200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3.1 生产环节</w:t>
      </w:r>
    </w:p>
    <w:p w14:paraId="43931BBD">
      <w:pPr>
        <w:spacing w:line="560" w:lineRule="exact"/>
        <w:ind w:firstLine="640" w:firstLineChars="200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（描述在生产制造端做了什么改变，如：通过数据采集实现设备状态实时监控、通过算法优化排产等）</w:t>
      </w:r>
    </w:p>
    <w:p w14:paraId="76D71CE5">
      <w:pPr>
        <w:spacing w:line="560" w:lineRule="exact"/>
        <w:ind w:firstLine="640" w:firstLineChars="200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3.2 供应链/协同环节（如适用）</w:t>
      </w:r>
    </w:p>
    <w:p w14:paraId="321BABCC">
      <w:pPr>
        <w:spacing w:line="560" w:lineRule="exact"/>
        <w:ind w:firstLine="640" w:firstLineChars="200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（描述与上下游的协同创新，如：打通供应商数据、实现联合排产、共享库存等）</w:t>
      </w:r>
    </w:p>
    <w:p w14:paraId="6636D032">
      <w:pPr>
        <w:spacing w:line="560" w:lineRule="exact"/>
        <w:ind w:firstLine="640" w:firstLineChars="200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3.3 管理/决策环节（如适用）</w:t>
      </w:r>
    </w:p>
    <w:p w14:paraId="0191DBF0">
      <w:pPr>
        <w:spacing w:line="560" w:lineRule="exact"/>
        <w:ind w:firstLine="640" w:firstLineChars="200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（描述管理层面的数字化升级，如：数据中台建设、经营仪表盘、智能预警等）</w:t>
      </w:r>
    </w:p>
    <w:p w14:paraId="5A402FA3">
      <w:pPr>
        <w:spacing w:line="560" w:lineRule="exact"/>
        <w:ind w:firstLine="640" w:firstLineChars="200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3.4 其他亮点</w:t>
      </w:r>
    </w:p>
    <w:p w14:paraId="2A76AAA0">
      <w:pPr>
        <w:spacing w:line="560" w:lineRule="exact"/>
        <w:ind w:firstLine="640" w:firstLineChars="200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（描述其他创新点）</w:t>
      </w:r>
    </w:p>
    <w:p w14:paraId="5D55FA88">
      <w:pPr>
        <w:spacing w:line="560" w:lineRule="exact"/>
        <w:ind w:firstLine="643" w:firstLineChars="200"/>
        <w:rPr>
          <w:rFonts w:hint="eastAsia" w:ascii="仿宋" w:hAnsi="仿宋" w:eastAsia="仿宋" w:cs="仿宋"/>
          <w:b/>
          <w:bCs/>
          <w:sz w:val="32"/>
          <w:szCs w:val="32"/>
        </w:rPr>
      </w:pPr>
      <w:r>
        <w:rPr>
          <w:rFonts w:hint="eastAsia" w:ascii="仿宋" w:hAnsi="仿宋" w:eastAsia="仿宋" w:cs="仿宋"/>
          <w:b/>
          <w:bCs/>
          <w:sz w:val="32"/>
          <w:szCs w:val="32"/>
        </w:rPr>
        <w:t>四、实施效果</w:t>
      </w:r>
    </w:p>
    <w:p w14:paraId="15BBCFD2">
      <w:pPr>
        <w:spacing w:line="560" w:lineRule="exact"/>
        <w:ind w:firstLine="640" w:firstLineChars="200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（用数据呈现成效，建议分点列出，300-500字）</w:t>
      </w:r>
    </w:p>
    <w:p w14:paraId="1F86A143">
      <w:pPr>
        <w:spacing w:line="560" w:lineRule="exact"/>
        <w:ind w:firstLine="640" w:firstLineChars="200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可根据实际情况填写相应指标，如：生产效率、运营成本、能耗水平、库存周转率等。示例格式如下：</w:t>
      </w:r>
    </w:p>
    <w:tbl>
      <w:tblPr>
        <w:tblStyle w:val="2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311"/>
        <w:gridCol w:w="1949"/>
        <w:gridCol w:w="2131"/>
        <w:gridCol w:w="2131"/>
      </w:tblGrid>
      <w:tr w14:paraId="6747EBD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311" w:type="dxa"/>
            <w:noWrap w:val="0"/>
            <w:vAlign w:val="top"/>
          </w:tcPr>
          <w:p w14:paraId="2A69BB36">
            <w:pPr>
              <w:spacing w:line="240" w:lineRule="atLeast"/>
              <w:jc w:val="center"/>
              <w:rPr>
                <w:rFonts w:hint="eastAsia" w:ascii="微软雅黑" w:hAnsi="微软雅黑" w:eastAsia="微软雅黑" w:cs="微软雅黑"/>
                <w:sz w:val="28"/>
                <w:szCs w:val="28"/>
              </w:rPr>
            </w:pPr>
            <w:r>
              <w:rPr>
                <w:rFonts w:hint="eastAsia" w:ascii="微软雅黑" w:hAnsi="微软雅黑" w:eastAsia="微软雅黑" w:cs="微软雅黑"/>
                <w:sz w:val="28"/>
                <w:szCs w:val="28"/>
              </w:rPr>
              <w:t>指标</w:t>
            </w:r>
          </w:p>
        </w:tc>
        <w:tc>
          <w:tcPr>
            <w:tcW w:w="1949" w:type="dxa"/>
            <w:noWrap w:val="0"/>
            <w:vAlign w:val="top"/>
          </w:tcPr>
          <w:p w14:paraId="78FC2D9D">
            <w:pPr>
              <w:spacing w:line="240" w:lineRule="atLeast"/>
              <w:jc w:val="center"/>
              <w:rPr>
                <w:rFonts w:hint="eastAsia" w:ascii="微软雅黑" w:hAnsi="微软雅黑" w:eastAsia="微软雅黑" w:cs="微软雅黑"/>
                <w:sz w:val="28"/>
                <w:szCs w:val="28"/>
              </w:rPr>
            </w:pPr>
            <w:r>
              <w:rPr>
                <w:rFonts w:hint="eastAsia" w:ascii="微软雅黑" w:hAnsi="微软雅黑" w:eastAsia="微软雅黑" w:cs="微软雅黑"/>
                <w:sz w:val="28"/>
                <w:szCs w:val="28"/>
              </w:rPr>
              <w:t>转型前</w:t>
            </w:r>
          </w:p>
        </w:tc>
        <w:tc>
          <w:tcPr>
            <w:tcW w:w="2131" w:type="dxa"/>
            <w:noWrap w:val="0"/>
            <w:vAlign w:val="top"/>
          </w:tcPr>
          <w:p w14:paraId="0A9CA387">
            <w:pPr>
              <w:spacing w:line="240" w:lineRule="atLeast"/>
              <w:jc w:val="center"/>
              <w:rPr>
                <w:rFonts w:hint="eastAsia" w:ascii="微软雅黑" w:hAnsi="微软雅黑" w:eastAsia="微软雅黑" w:cs="微软雅黑"/>
                <w:sz w:val="28"/>
                <w:szCs w:val="28"/>
              </w:rPr>
            </w:pPr>
            <w:r>
              <w:rPr>
                <w:rFonts w:hint="eastAsia" w:ascii="微软雅黑" w:hAnsi="微软雅黑" w:eastAsia="微软雅黑" w:cs="微软雅黑"/>
                <w:sz w:val="28"/>
                <w:szCs w:val="28"/>
              </w:rPr>
              <w:t>转型后</w:t>
            </w:r>
          </w:p>
        </w:tc>
        <w:tc>
          <w:tcPr>
            <w:tcW w:w="2131" w:type="dxa"/>
            <w:noWrap w:val="0"/>
            <w:vAlign w:val="top"/>
          </w:tcPr>
          <w:p w14:paraId="2B21B84F">
            <w:pPr>
              <w:spacing w:line="240" w:lineRule="atLeast"/>
              <w:jc w:val="center"/>
              <w:rPr>
                <w:rFonts w:hint="eastAsia" w:ascii="微软雅黑" w:hAnsi="微软雅黑" w:eastAsia="微软雅黑" w:cs="微软雅黑"/>
                <w:sz w:val="28"/>
                <w:szCs w:val="28"/>
              </w:rPr>
            </w:pPr>
            <w:r>
              <w:rPr>
                <w:rFonts w:hint="eastAsia" w:ascii="微软雅黑" w:hAnsi="微软雅黑" w:eastAsia="微软雅黑" w:cs="微软雅黑"/>
                <w:sz w:val="28"/>
                <w:szCs w:val="28"/>
              </w:rPr>
              <w:t>提升幅度</w:t>
            </w:r>
          </w:p>
        </w:tc>
      </w:tr>
      <w:tr w14:paraId="1A6F41C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311" w:type="dxa"/>
            <w:noWrap w:val="0"/>
            <w:vAlign w:val="top"/>
          </w:tcPr>
          <w:p w14:paraId="643C9A30">
            <w:pPr>
              <w:spacing w:line="240" w:lineRule="atLeast"/>
              <w:jc w:val="center"/>
              <w:rPr>
                <w:rFonts w:ascii="微软雅黑" w:hAnsi="微软雅黑" w:eastAsia="微软雅黑" w:cs="微软雅黑"/>
                <w:sz w:val="28"/>
                <w:szCs w:val="28"/>
              </w:rPr>
            </w:pPr>
            <w:r>
              <w:rPr>
                <w:rFonts w:hint="eastAsia" w:ascii="微软雅黑" w:hAnsi="微软雅黑" w:eastAsia="微软雅黑" w:cs="微软雅黑"/>
                <w:sz w:val="28"/>
                <w:szCs w:val="28"/>
              </w:rPr>
              <w:t>生产效率</w:t>
            </w:r>
          </w:p>
        </w:tc>
        <w:tc>
          <w:tcPr>
            <w:tcW w:w="1949" w:type="dxa"/>
            <w:noWrap w:val="0"/>
            <w:vAlign w:val="top"/>
          </w:tcPr>
          <w:p w14:paraId="18E4EA0A">
            <w:pPr>
              <w:spacing w:line="240" w:lineRule="atLeast"/>
              <w:jc w:val="center"/>
              <w:rPr>
                <w:rFonts w:hint="eastAsia" w:ascii="微软雅黑" w:hAnsi="微软雅黑" w:eastAsia="微软雅黑" w:cs="微软雅黑"/>
                <w:sz w:val="28"/>
                <w:szCs w:val="28"/>
              </w:rPr>
            </w:pPr>
            <w:r>
              <w:rPr>
                <w:rFonts w:hint="eastAsia" w:ascii="微软雅黑" w:hAnsi="微软雅黑" w:eastAsia="微软雅黑" w:cs="微软雅黑"/>
                <w:sz w:val="28"/>
                <w:szCs w:val="28"/>
              </w:rPr>
              <w:t>XX%</w:t>
            </w:r>
          </w:p>
        </w:tc>
        <w:tc>
          <w:tcPr>
            <w:tcW w:w="2131" w:type="dxa"/>
            <w:noWrap w:val="0"/>
            <w:vAlign w:val="top"/>
          </w:tcPr>
          <w:p w14:paraId="145136A6">
            <w:pPr>
              <w:spacing w:line="240" w:lineRule="atLeast"/>
              <w:jc w:val="center"/>
              <w:rPr>
                <w:rFonts w:hint="eastAsia" w:ascii="微软雅黑" w:hAnsi="微软雅黑" w:eastAsia="微软雅黑" w:cs="微软雅黑"/>
                <w:sz w:val="28"/>
                <w:szCs w:val="28"/>
              </w:rPr>
            </w:pPr>
            <w:r>
              <w:rPr>
                <w:rFonts w:hint="eastAsia" w:ascii="微软雅黑" w:hAnsi="微软雅黑" w:eastAsia="微软雅黑" w:cs="微软雅黑"/>
                <w:sz w:val="28"/>
                <w:szCs w:val="28"/>
              </w:rPr>
              <w:t>XX%</w:t>
            </w:r>
          </w:p>
        </w:tc>
        <w:tc>
          <w:tcPr>
            <w:tcW w:w="2131" w:type="dxa"/>
            <w:noWrap w:val="0"/>
            <w:vAlign w:val="top"/>
          </w:tcPr>
          <w:p w14:paraId="24EA7B83">
            <w:pPr>
              <w:spacing w:line="240" w:lineRule="atLeast"/>
              <w:jc w:val="center"/>
              <w:rPr>
                <w:rFonts w:hint="eastAsia" w:ascii="微软雅黑" w:hAnsi="微软雅黑" w:eastAsia="微软雅黑" w:cs="微软雅黑"/>
                <w:sz w:val="28"/>
                <w:szCs w:val="28"/>
              </w:rPr>
            </w:pPr>
            <w:r>
              <w:rPr>
                <w:rFonts w:hint="eastAsia" w:ascii="微软雅黑" w:hAnsi="微软雅黑" w:eastAsia="微软雅黑" w:cs="微软雅黑"/>
                <w:sz w:val="28"/>
                <w:szCs w:val="28"/>
              </w:rPr>
              <w:t>+XX%</w:t>
            </w:r>
          </w:p>
        </w:tc>
      </w:tr>
      <w:tr w14:paraId="15D9CC0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311" w:type="dxa"/>
            <w:noWrap w:val="0"/>
            <w:vAlign w:val="top"/>
          </w:tcPr>
          <w:p w14:paraId="435BA669">
            <w:pPr>
              <w:spacing w:line="240" w:lineRule="atLeast"/>
              <w:jc w:val="center"/>
              <w:rPr>
                <w:rFonts w:ascii="微软雅黑" w:hAnsi="微软雅黑" w:eastAsia="微软雅黑" w:cs="微软雅黑"/>
                <w:sz w:val="28"/>
                <w:szCs w:val="28"/>
              </w:rPr>
            </w:pPr>
            <w:r>
              <w:rPr>
                <w:rFonts w:hint="eastAsia" w:ascii="微软雅黑" w:hAnsi="微软雅黑" w:eastAsia="微软雅黑" w:cs="微软雅黑"/>
                <w:sz w:val="28"/>
                <w:szCs w:val="28"/>
              </w:rPr>
              <w:t>运营成本</w:t>
            </w:r>
          </w:p>
        </w:tc>
        <w:tc>
          <w:tcPr>
            <w:tcW w:w="1949" w:type="dxa"/>
            <w:noWrap w:val="0"/>
            <w:vAlign w:val="top"/>
          </w:tcPr>
          <w:p w14:paraId="501C8007">
            <w:pPr>
              <w:spacing w:line="240" w:lineRule="atLeast"/>
              <w:jc w:val="center"/>
              <w:rPr>
                <w:rFonts w:ascii="微软雅黑" w:hAnsi="微软雅黑" w:eastAsia="微软雅黑" w:cs="微软雅黑"/>
                <w:sz w:val="28"/>
                <w:szCs w:val="28"/>
              </w:rPr>
            </w:pPr>
            <w:r>
              <w:rPr>
                <w:rFonts w:hint="eastAsia" w:ascii="微软雅黑" w:hAnsi="微软雅黑" w:eastAsia="微软雅黑" w:cs="微软雅黑"/>
                <w:sz w:val="28"/>
                <w:szCs w:val="28"/>
              </w:rPr>
              <w:t>XX万元</w:t>
            </w:r>
          </w:p>
        </w:tc>
        <w:tc>
          <w:tcPr>
            <w:tcW w:w="2131" w:type="dxa"/>
            <w:noWrap w:val="0"/>
            <w:vAlign w:val="top"/>
          </w:tcPr>
          <w:p w14:paraId="3DD0AAFE">
            <w:pPr>
              <w:spacing w:line="240" w:lineRule="atLeast"/>
              <w:jc w:val="center"/>
              <w:rPr>
                <w:rFonts w:hint="eastAsia" w:ascii="微软雅黑" w:hAnsi="微软雅黑" w:eastAsia="微软雅黑" w:cs="微软雅黑"/>
                <w:sz w:val="28"/>
                <w:szCs w:val="28"/>
              </w:rPr>
            </w:pPr>
            <w:r>
              <w:rPr>
                <w:rFonts w:hint="eastAsia" w:ascii="微软雅黑" w:hAnsi="微软雅黑" w:eastAsia="微软雅黑" w:cs="微软雅黑"/>
                <w:sz w:val="28"/>
                <w:szCs w:val="28"/>
              </w:rPr>
              <w:t>XX万元</w:t>
            </w:r>
          </w:p>
        </w:tc>
        <w:tc>
          <w:tcPr>
            <w:tcW w:w="2131" w:type="dxa"/>
            <w:noWrap w:val="0"/>
            <w:vAlign w:val="top"/>
          </w:tcPr>
          <w:p w14:paraId="5543F8A6">
            <w:pPr>
              <w:spacing w:line="240" w:lineRule="atLeast"/>
              <w:jc w:val="center"/>
              <w:rPr>
                <w:rFonts w:hint="eastAsia" w:ascii="微软雅黑" w:hAnsi="微软雅黑" w:eastAsia="微软雅黑" w:cs="微软雅黑"/>
                <w:sz w:val="28"/>
                <w:szCs w:val="28"/>
              </w:rPr>
            </w:pPr>
            <w:r>
              <w:rPr>
                <w:rFonts w:hint="eastAsia" w:ascii="微软雅黑" w:hAnsi="微软雅黑" w:eastAsia="微软雅黑" w:cs="微软雅黑"/>
                <w:sz w:val="28"/>
                <w:szCs w:val="28"/>
              </w:rPr>
              <w:t>-XX%</w:t>
            </w:r>
          </w:p>
        </w:tc>
      </w:tr>
      <w:tr w14:paraId="18659F9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311" w:type="dxa"/>
            <w:noWrap w:val="0"/>
            <w:vAlign w:val="top"/>
          </w:tcPr>
          <w:p w14:paraId="5CB59120">
            <w:pPr>
              <w:spacing w:line="240" w:lineRule="atLeast"/>
              <w:jc w:val="center"/>
              <w:rPr>
                <w:rFonts w:hint="eastAsia" w:ascii="微软雅黑" w:hAnsi="微软雅黑" w:eastAsia="微软雅黑" w:cs="微软雅黑"/>
                <w:sz w:val="28"/>
                <w:szCs w:val="28"/>
              </w:rPr>
            </w:pPr>
            <w:r>
              <w:rPr>
                <w:rFonts w:hint="eastAsia" w:ascii="微软雅黑" w:hAnsi="微软雅黑" w:eastAsia="微软雅黑" w:cs="微软雅黑"/>
                <w:sz w:val="28"/>
                <w:szCs w:val="28"/>
              </w:rPr>
              <w:t>设备综合利用率</w:t>
            </w:r>
          </w:p>
        </w:tc>
        <w:tc>
          <w:tcPr>
            <w:tcW w:w="1949" w:type="dxa"/>
            <w:noWrap w:val="0"/>
            <w:vAlign w:val="top"/>
          </w:tcPr>
          <w:p w14:paraId="5DBAA494">
            <w:pPr>
              <w:spacing w:line="240" w:lineRule="atLeast"/>
              <w:jc w:val="center"/>
              <w:rPr>
                <w:rFonts w:hint="eastAsia" w:ascii="微软雅黑" w:hAnsi="微软雅黑" w:eastAsia="微软雅黑" w:cs="微软雅黑"/>
                <w:sz w:val="28"/>
                <w:szCs w:val="28"/>
              </w:rPr>
            </w:pPr>
            <w:r>
              <w:rPr>
                <w:rFonts w:hint="eastAsia" w:ascii="微软雅黑" w:hAnsi="微软雅黑" w:eastAsia="微软雅黑" w:cs="微软雅黑"/>
                <w:sz w:val="28"/>
                <w:szCs w:val="28"/>
              </w:rPr>
              <w:t>XX%</w:t>
            </w:r>
          </w:p>
        </w:tc>
        <w:tc>
          <w:tcPr>
            <w:tcW w:w="2131" w:type="dxa"/>
            <w:noWrap w:val="0"/>
            <w:vAlign w:val="top"/>
          </w:tcPr>
          <w:p w14:paraId="5638E6E2">
            <w:pPr>
              <w:spacing w:line="240" w:lineRule="atLeast"/>
              <w:jc w:val="center"/>
              <w:rPr>
                <w:rFonts w:hint="eastAsia" w:ascii="微软雅黑" w:hAnsi="微软雅黑" w:eastAsia="微软雅黑" w:cs="微软雅黑"/>
                <w:sz w:val="28"/>
                <w:szCs w:val="28"/>
              </w:rPr>
            </w:pPr>
            <w:r>
              <w:rPr>
                <w:rFonts w:hint="eastAsia" w:ascii="微软雅黑" w:hAnsi="微软雅黑" w:eastAsia="微软雅黑" w:cs="微软雅黑"/>
                <w:sz w:val="28"/>
                <w:szCs w:val="28"/>
              </w:rPr>
              <w:t>XX%</w:t>
            </w:r>
          </w:p>
        </w:tc>
        <w:tc>
          <w:tcPr>
            <w:tcW w:w="2131" w:type="dxa"/>
            <w:noWrap w:val="0"/>
            <w:vAlign w:val="top"/>
          </w:tcPr>
          <w:p w14:paraId="3EE8E5A4">
            <w:pPr>
              <w:spacing w:line="240" w:lineRule="atLeast"/>
              <w:jc w:val="center"/>
              <w:rPr>
                <w:rFonts w:hint="eastAsia" w:ascii="微软雅黑" w:hAnsi="微软雅黑" w:eastAsia="微软雅黑" w:cs="微软雅黑"/>
                <w:sz w:val="28"/>
                <w:szCs w:val="28"/>
              </w:rPr>
            </w:pPr>
            <w:r>
              <w:rPr>
                <w:rFonts w:hint="eastAsia" w:ascii="微软雅黑" w:hAnsi="微软雅黑" w:eastAsia="微软雅黑" w:cs="微软雅黑"/>
                <w:sz w:val="28"/>
                <w:szCs w:val="28"/>
              </w:rPr>
              <w:t>+XX%</w:t>
            </w:r>
          </w:p>
        </w:tc>
      </w:tr>
      <w:tr w14:paraId="5DBB609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311" w:type="dxa"/>
            <w:noWrap w:val="0"/>
            <w:vAlign w:val="top"/>
          </w:tcPr>
          <w:p w14:paraId="044674E2">
            <w:pPr>
              <w:spacing w:line="240" w:lineRule="atLeast"/>
              <w:jc w:val="center"/>
              <w:rPr>
                <w:rFonts w:hint="eastAsia" w:ascii="微软雅黑" w:hAnsi="微软雅黑" w:eastAsia="微软雅黑" w:cs="微软雅黑"/>
                <w:sz w:val="28"/>
                <w:szCs w:val="28"/>
              </w:rPr>
            </w:pPr>
            <w:r>
              <w:rPr>
                <w:rFonts w:hint="eastAsia" w:ascii="微软雅黑" w:hAnsi="微软雅黑" w:eastAsia="微软雅黑" w:cs="微软雅黑"/>
                <w:sz w:val="28"/>
                <w:szCs w:val="28"/>
              </w:rPr>
              <w:t>订单交付周期</w:t>
            </w:r>
          </w:p>
        </w:tc>
        <w:tc>
          <w:tcPr>
            <w:tcW w:w="1949" w:type="dxa"/>
            <w:noWrap w:val="0"/>
            <w:vAlign w:val="top"/>
          </w:tcPr>
          <w:p w14:paraId="38881CE9">
            <w:pPr>
              <w:spacing w:line="240" w:lineRule="atLeast"/>
              <w:jc w:val="center"/>
              <w:rPr>
                <w:rFonts w:hint="eastAsia" w:ascii="微软雅黑" w:hAnsi="微软雅黑" w:eastAsia="微软雅黑" w:cs="微软雅黑"/>
                <w:sz w:val="28"/>
                <w:szCs w:val="28"/>
              </w:rPr>
            </w:pPr>
            <w:r>
              <w:rPr>
                <w:rFonts w:hint="eastAsia" w:ascii="微软雅黑" w:hAnsi="微软雅黑" w:eastAsia="微软雅黑" w:cs="微软雅黑"/>
                <w:sz w:val="28"/>
                <w:szCs w:val="28"/>
              </w:rPr>
              <w:t>XX天</w:t>
            </w:r>
          </w:p>
        </w:tc>
        <w:tc>
          <w:tcPr>
            <w:tcW w:w="2131" w:type="dxa"/>
            <w:noWrap w:val="0"/>
            <w:vAlign w:val="top"/>
          </w:tcPr>
          <w:p w14:paraId="3FBFD314">
            <w:pPr>
              <w:spacing w:line="240" w:lineRule="atLeast"/>
              <w:jc w:val="center"/>
              <w:rPr>
                <w:rFonts w:hint="eastAsia" w:ascii="微软雅黑" w:hAnsi="微软雅黑" w:eastAsia="微软雅黑" w:cs="微软雅黑"/>
                <w:sz w:val="28"/>
                <w:szCs w:val="28"/>
              </w:rPr>
            </w:pPr>
            <w:r>
              <w:rPr>
                <w:rFonts w:hint="eastAsia" w:ascii="微软雅黑" w:hAnsi="微软雅黑" w:eastAsia="微软雅黑" w:cs="微软雅黑"/>
                <w:sz w:val="28"/>
                <w:szCs w:val="28"/>
              </w:rPr>
              <w:t>XX天</w:t>
            </w:r>
          </w:p>
        </w:tc>
        <w:tc>
          <w:tcPr>
            <w:tcW w:w="2131" w:type="dxa"/>
            <w:noWrap w:val="0"/>
            <w:vAlign w:val="top"/>
          </w:tcPr>
          <w:p w14:paraId="43D49EEF">
            <w:pPr>
              <w:spacing w:line="240" w:lineRule="atLeast"/>
              <w:jc w:val="center"/>
              <w:rPr>
                <w:rFonts w:hint="eastAsia" w:ascii="微软雅黑" w:hAnsi="微软雅黑" w:eastAsia="微软雅黑" w:cs="微软雅黑"/>
                <w:sz w:val="28"/>
                <w:szCs w:val="28"/>
              </w:rPr>
            </w:pPr>
            <w:r>
              <w:rPr>
                <w:rFonts w:hint="eastAsia" w:ascii="微软雅黑" w:hAnsi="微软雅黑" w:eastAsia="微软雅黑" w:cs="微软雅黑"/>
                <w:sz w:val="28"/>
                <w:szCs w:val="28"/>
              </w:rPr>
              <w:t>-XX%</w:t>
            </w:r>
          </w:p>
        </w:tc>
      </w:tr>
      <w:tr w14:paraId="0B05226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311" w:type="dxa"/>
            <w:noWrap w:val="0"/>
            <w:vAlign w:val="top"/>
          </w:tcPr>
          <w:p w14:paraId="0D0FC456">
            <w:pPr>
              <w:spacing w:line="240" w:lineRule="atLeast"/>
              <w:jc w:val="center"/>
              <w:rPr>
                <w:rFonts w:hint="eastAsia" w:ascii="微软雅黑" w:hAnsi="微软雅黑" w:eastAsia="微软雅黑" w:cs="微软雅黑"/>
                <w:sz w:val="28"/>
                <w:szCs w:val="28"/>
              </w:rPr>
            </w:pPr>
            <w:r>
              <w:rPr>
                <w:rFonts w:hint="eastAsia" w:ascii="微软雅黑" w:hAnsi="微软雅黑" w:eastAsia="微软雅黑" w:cs="微软雅黑"/>
                <w:sz w:val="28"/>
                <w:szCs w:val="28"/>
              </w:rPr>
              <w:t>库存周转率</w:t>
            </w:r>
          </w:p>
        </w:tc>
        <w:tc>
          <w:tcPr>
            <w:tcW w:w="1949" w:type="dxa"/>
            <w:noWrap w:val="0"/>
            <w:vAlign w:val="top"/>
          </w:tcPr>
          <w:p w14:paraId="3280F506">
            <w:pPr>
              <w:spacing w:line="240" w:lineRule="atLeast"/>
              <w:jc w:val="center"/>
              <w:rPr>
                <w:rFonts w:hint="eastAsia" w:ascii="微软雅黑" w:hAnsi="微软雅黑" w:eastAsia="微软雅黑" w:cs="微软雅黑"/>
                <w:sz w:val="28"/>
                <w:szCs w:val="28"/>
              </w:rPr>
            </w:pPr>
            <w:r>
              <w:rPr>
                <w:rFonts w:hint="eastAsia" w:ascii="微软雅黑" w:hAnsi="微软雅黑" w:eastAsia="微软雅黑" w:cs="微软雅黑"/>
                <w:sz w:val="28"/>
                <w:szCs w:val="28"/>
              </w:rPr>
              <w:t>XX次/年</w:t>
            </w:r>
          </w:p>
        </w:tc>
        <w:tc>
          <w:tcPr>
            <w:tcW w:w="2131" w:type="dxa"/>
            <w:noWrap w:val="0"/>
            <w:vAlign w:val="top"/>
          </w:tcPr>
          <w:p w14:paraId="0B732DD3">
            <w:pPr>
              <w:spacing w:line="240" w:lineRule="atLeast"/>
              <w:jc w:val="center"/>
              <w:rPr>
                <w:rFonts w:hint="eastAsia" w:ascii="微软雅黑" w:hAnsi="微软雅黑" w:eastAsia="微软雅黑" w:cs="微软雅黑"/>
                <w:sz w:val="28"/>
                <w:szCs w:val="28"/>
              </w:rPr>
            </w:pPr>
            <w:r>
              <w:rPr>
                <w:rFonts w:hint="eastAsia" w:ascii="微软雅黑" w:hAnsi="微软雅黑" w:eastAsia="微软雅黑" w:cs="微软雅黑"/>
                <w:sz w:val="28"/>
                <w:szCs w:val="28"/>
              </w:rPr>
              <w:t>XX次/年</w:t>
            </w:r>
          </w:p>
        </w:tc>
        <w:tc>
          <w:tcPr>
            <w:tcW w:w="2131" w:type="dxa"/>
            <w:noWrap w:val="0"/>
            <w:vAlign w:val="top"/>
          </w:tcPr>
          <w:p w14:paraId="47E60D69">
            <w:pPr>
              <w:spacing w:line="240" w:lineRule="atLeast"/>
              <w:jc w:val="center"/>
              <w:rPr>
                <w:rFonts w:hint="eastAsia" w:ascii="微软雅黑" w:hAnsi="微软雅黑" w:eastAsia="微软雅黑" w:cs="微软雅黑"/>
                <w:sz w:val="28"/>
                <w:szCs w:val="28"/>
              </w:rPr>
            </w:pPr>
            <w:r>
              <w:rPr>
                <w:rFonts w:hint="eastAsia" w:ascii="微软雅黑" w:hAnsi="微软雅黑" w:eastAsia="微软雅黑" w:cs="微软雅黑"/>
                <w:sz w:val="28"/>
                <w:szCs w:val="28"/>
              </w:rPr>
              <w:t>+XX%</w:t>
            </w:r>
          </w:p>
        </w:tc>
      </w:tr>
      <w:tr w14:paraId="2E86A79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311" w:type="dxa"/>
            <w:noWrap w:val="0"/>
            <w:vAlign w:val="top"/>
          </w:tcPr>
          <w:p w14:paraId="34B64B53">
            <w:pPr>
              <w:spacing w:line="240" w:lineRule="atLeast"/>
              <w:jc w:val="center"/>
              <w:rPr>
                <w:rFonts w:hint="eastAsia" w:ascii="微软雅黑" w:hAnsi="微软雅黑" w:eastAsia="微软雅黑" w:cs="微软雅黑"/>
                <w:sz w:val="28"/>
                <w:szCs w:val="28"/>
              </w:rPr>
            </w:pPr>
            <w:r>
              <w:rPr>
                <w:rFonts w:hint="eastAsia" w:ascii="微软雅黑" w:hAnsi="微软雅黑" w:eastAsia="微软雅黑" w:cs="微软雅黑"/>
                <w:sz w:val="28"/>
                <w:szCs w:val="28"/>
              </w:rPr>
              <w:t>……</w:t>
            </w:r>
          </w:p>
        </w:tc>
        <w:tc>
          <w:tcPr>
            <w:tcW w:w="1949" w:type="dxa"/>
            <w:noWrap w:val="0"/>
            <w:vAlign w:val="top"/>
          </w:tcPr>
          <w:p w14:paraId="31F4393A">
            <w:pPr>
              <w:spacing w:line="240" w:lineRule="atLeast"/>
              <w:jc w:val="center"/>
              <w:rPr>
                <w:rFonts w:hint="eastAsia" w:ascii="微软雅黑" w:hAnsi="微软雅黑" w:eastAsia="微软雅黑" w:cs="微软雅黑"/>
                <w:sz w:val="28"/>
                <w:szCs w:val="28"/>
              </w:rPr>
            </w:pPr>
            <w:r>
              <w:rPr>
                <w:rFonts w:hint="eastAsia" w:ascii="微软雅黑" w:hAnsi="微软雅黑" w:eastAsia="微软雅黑" w:cs="微软雅黑"/>
                <w:sz w:val="28"/>
                <w:szCs w:val="28"/>
              </w:rPr>
              <w:t>……</w:t>
            </w:r>
          </w:p>
        </w:tc>
        <w:tc>
          <w:tcPr>
            <w:tcW w:w="2131" w:type="dxa"/>
            <w:noWrap w:val="0"/>
            <w:vAlign w:val="top"/>
          </w:tcPr>
          <w:p w14:paraId="6FBC9BDB">
            <w:pPr>
              <w:spacing w:line="240" w:lineRule="atLeast"/>
              <w:jc w:val="center"/>
              <w:rPr>
                <w:rFonts w:hint="eastAsia" w:ascii="微软雅黑" w:hAnsi="微软雅黑" w:eastAsia="微软雅黑" w:cs="微软雅黑"/>
                <w:sz w:val="28"/>
                <w:szCs w:val="28"/>
              </w:rPr>
            </w:pPr>
            <w:r>
              <w:rPr>
                <w:rFonts w:hint="eastAsia" w:ascii="微软雅黑" w:hAnsi="微软雅黑" w:eastAsia="微软雅黑" w:cs="微软雅黑"/>
                <w:sz w:val="28"/>
                <w:szCs w:val="28"/>
              </w:rPr>
              <w:t>……</w:t>
            </w:r>
          </w:p>
        </w:tc>
        <w:tc>
          <w:tcPr>
            <w:tcW w:w="2131" w:type="dxa"/>
            <w:noWrap w:val="0"/>
            <w:vAlign w:val="top"/>
          </w:tcPr>
          <w:p w14:paraId="5EFAFBEC">
            <w:pPr>
              <w:spacing w:line="240" w:lineRule="atLeast"/>
              <w:jc w:val="center"/>
              <w:rPr>
                <w:rFonts w:hint="eastAsia" w:ascii="微软雅黑" w:hAnsi="微软雅黑" w:eastAsia="微软雅黑" w:cs="微软雅黑"/>
                <w:sz w:val="28"/>
                <w:szCs w:val="28"/>
              </w:rPr>
            </w:pPr>
            <w:r>
              <w:rPr>
                <w:rFonts w:hint="eastAsia" w:ascii="微软雅黑" w:hAnsi="微软雅黑" w:eastAsia="微软雅黑" w:cs="微软雅黑"/>
                <w:sz w:val="28"/>
                <w:szCs w:val="28"/>
              </w:rPr>
              <w:t>……</w:t>
            </w:r>
          </w:p>
        </w:tc>
      </w:tr>
    </w:tbl>
    <w:p w14:paraId="4CA76D82">
      <w:pPr>
        <w:spacing w:line="560" w:lineRule="exact"/>
        <w:ind w:firstLine="640" w:firstLineChars="200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说明：客户/用户评价（可选）</w:t>
      </w:r>
    </w:p>
    <w:p w14:paraId="05F799EC">
      <w:pPr>
        <w:spacing w:line="560" w:lineRule="exact"/>
        <w:ind w:firstLine="643" w:firstLineChars="200"/>
        <w:rPr>
          <w:rFonts w:hint="eastAsia" w:ascii="仿宋" w:hAnsi="仿宋" w:eastAsia="仿宋" w:cs="仿宋"/>
          <w:b/>
          <w:bCs/>
          <w:sz w:val="32"/>
          <w:szCs w:val="32"/>
        </w:rPr>
      </w:pPr>
      <w:r>
        <w:rPr>
          <w:rFonts w:hint="eastAsia" w:ascii="仿宋" w:hAnsi="仿宋" w:eastAsia="仿宋" w:cs="仿宋"/>
          <w:b/>
          <w:bCs/>
          <w:sz w:val="32"/>
          <w:szCs w:val="32"/>
        </w:rPr>
        <w:t>五、链式效应（如适用）</w:t>
      </w:r>
    </w:p>
    <w:p w14:paraId="15172DA9">
      <w:pPr>
        <w:spacing w:line="560" w:lineRule="exact"/>
        <w:ind w:firstLine="640" w:firstLineChars="200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（说明是否带动上下游或生态伙伴，200-300字）</w:t>
      </w:r>
    </w:p>
    <w:p w14:paraId="165B3AD6">
      <w:pPr>
        <w:spacing w:line="560" w:lineRule="exact"/>
        <w:ind w:firstLine="640" w:firstLineChars="200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示例参考：</w:t>
      </w:r>
    </w:p>
    <w:p w14:paraId="2324437D">
      <w:pPr>
        <w:spacing w:line="560" w:lineRule="exact"/>
        <w:ind w:firstLine="640" w:firstLineChars="200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“本项目带动了上游XX家供应商接入协同平台，实现了订单、库存、质量数据的实时共享，供应商备货周期从7天缩短至2天。同时，形成了一套可复用的‘链主+中小供应商’协同转型模式。”</w:t>
      </w:r>
    </w:p>
    <w:p w14:paraId="74056B80">
      <w:pPr>
        <w:spacing w:line="560" w:lineRule="exact"/>
        <w:ind w:firstLine="643" w:firstLineChars="200"/>
        <w:rPr>
          <w:rFonts w:hint="eastAsia" w:ascii="仿宋" w:hAnsi="仿宋" w:eastAsia="仿宋" w:cs="仿宋"/>
          <w:b/>
          <w:bCs/>
          <w:sz w:val="32"/>
          <w:szCs w:val="32"/>
        </w:rPr>
      </w:pPr>
      <w:r>
        <w:rPr>
          <w:rFonts w:hint="eastAsia" w:ascii="仿宋" w:hAnsi="仿宋" w:eastAsia="仿宋" w:cs="仿宋"/>
          <w:b/>
          <w:bCs/>
          <w:sz w:val="32"/>
          <w:szCs w:val="32"/>
        </w:rPr>
        <w:t>六、可推广价值</w:t>
      </w:r>
    </w:p>
    <w:p w14:paraId="41B16F67">
      <w:pPr>
        <w:spacing w:line="560" w:lineRule="exact"/>
        <w:ind w:firstLine="640" w:firstLineChars="200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（总结案例的典型意义和可复制经验，200-300字）</w:t>
      </w:r>
    </w:p>
    <w:p w14:paraId="4E2219F3">
      <w:pPr>
        <w:spacing w:line="560" w:lineRule="exact"/>
        <w:ind w:firstLine="640" w:firstLineChars="200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示例参考：</w:t>
      </w:r>
    </w:p>
    <w:p w14:paraId="189FEE03">
      <w:pPr>
        <w:spacing w:line="560" w:lineRule="exact"/>
        <w:ind w:firstLine="640" w:firstLineChars="200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“本案例的典型价值在于：1）低成本可复制：采用SaaS化部署，中小企业年投入低于X万元；2）场景普适性强：解决方案适用于XX、XX等离散制造行业；3）快速见效：实施周期仅X个月即可看到明显效益。对同类型企业具有较高的借鉴意义。”</w:t>
      </w:r>
    </w:p>
    <w:p w14:paraId="7FCE97E7">
      <w:pPr>
        <w:spacing w:line="560" w:lineRule="exact"/>
        <w:ind w:firstLine="643" w:firstLineChars="200"/>
        <w:rPr>
          <w:rFonts w:hint="eastAsia" w:ascii="仿宋" w:hAnsi="仿宋" w:eastAsia="仿宋" w:cs="仿宋"/>
          <w:b/>
          <w:bCs/>
          <w:sz w:val="32"/>
          <w:szCs w:val="32"/>
        </w:rPr>
      </w:pPr>
      <w:r>
        <w:rPr>
          <w:rFonts w:hint="eastAsia" w:ascii="仿宋" w:hAnsi="仿宋" w:eastAsia="仿宋" w:cs="仿宋"/>
          <w:b/>
          <w:bCs/>
          <w:sz w:val="32"/>
          <w:szCs w:val="32"/>
        </w:rPr>
        <w:t>七、配图说明</w:t>
      </w:r>
    </w:p>
    <w:p w14:paraId="2B978414">
      <w:pPr>
        <w:spacing w:line="560" w:lineRule="exact"/>
        <w:ind w:firstLine="640" w:firstLineChars="200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（请提供3-5张图片，包括：关键场景照片、系统界面截图、数据对比图表等，图片请单独打包发送，本处仅作说明）</w:t>
      </w:r>
    </w:p>
    <w:p w14:paraId="66E2BA4A">
      <w:pPr>
        <w:spacing w:line="560" w:lineRule="exact"/>
        <w:ind w:firstLine="640" w:firstLineChars="200"/>
        <w:rPr>
          <w:rFonts w:hint="eastAsia" w:ascii="仿宋" w:hAnsi="仿宋" w:eastAsia="仿宋" w:cs="仿宋"/>
          <w:sz w:val="32"/>
          <w:szCs w:val="32"/>
        </w:rPr>
      </w:pPr>
    </w:p>
    <w:p w14:paraId="57BECBF0">
      <w:pPr>
        <w:spacing w:line="560" w:lineRule="exact"/>
        <w:ind w:firstLine="5760" w:firstLineChars="1800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申报单位（盖章）</w:t>
      </w:r>
    </w:p>
    <w:p w14:paraId="115E1640">
      <w:pPr>
        <w:spacing w:line="560" w:lineRule="exact"/>
        <w:ind w:firstLine="640" w:firstLineChars="200"/>
        <w:rPr>
          <w:rFonts w:ascii="仿宋" w:hAnsi="仿宋" w:eastAsia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 xml:space="preserve">                                2026 年  月  日</w:t>
      </w:r>
    </w:p>
    <w:p w14:paraId="0DDA0112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 2">
    <w:altName w:val="Wingdings"/>
    <w:panose1 w:val="05020102010507070707"/>
    <w:charset w:val="02"/>
    <w:family w:val="roman"/>
    <w:pitch w:val="default"/>
    <w:sig w:usb0="00000000" w:usb1="00000000" w:usb2="00000000" w:usb3="00000000" w:csb0="80000000" w:csb1="00000000"/>
  </w:font>
  <w:font w:name="Kingsoft UE">
    <w:panose1 w:val="02000100010000000000"/>
    <w:charset w:val="00"/>
    <w:family w:val="auto"/>
    <w:pitch w:val="default"/>
    <w:sig w:usb0="00000001" w:usb1="00004000" w:usb2="0000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2CCF285A"/>
    <w:rsid w:val="2CCF28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2026-06-29T03:01:00Z</dcterms:created>
  <dc:creator>jf</dc:creator>
  <cp:lastModifiedBy>jf</cp:lastModifiedBy>
  <dcterms:modified xsi:type="dcterms:W3CDTF">2026-06-29T03:01:55Z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FACB7CDDF748439CB1BE8D6DF4B0AD83_11</vt:lpwstr>
  </property>
  <property fmtid="{D5CDD505-2E9C-101B-9397-08002B2CF9AE}" pid="4" name="KSOTemplateDocerSaveRecord">
    <vt:lpwstr>eyJoZGlkIjoiYTY4OTBiZGM4MWRhYzAxMTMwZjQyYWM4M2NhZTYzMTciLCJ1c2VySWQiOiI0OTk4NDE2MzUifQ==</vt:lpwstr>
  </property>
</Properties>
</file>