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5B0CC">
      <w:pPr>
        <w:spacing w:line="36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附件1</w:t>
      </w:r>
    </w:p>
    <w:p w14:paraId="7A64FA62">
      <w:pPr>
        <w:spacing w:line="360" w:lineRule="auto"/>
        <w:jc w:val="center"/>
        <w:rPr>
          <w:rFonts w:hint="eastAsia" w:ascii="仿宋" w:hAnsi="仿宋" w:eastAsia="仿宋" w:cs="宋体"/>
          <w:b/>
          <w:bCs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44"/>
          <w:szCs w:val="44"/>
        </w:rPr>
        <w:t>培训内容</w:t>
      </w:r>
    </w:p>
    <w:p w14:paraId="49DA8554">
      <w:pPr>
        <w:spacing w:line="360" w:lineRule="auto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bookmarkStart w:id="0" w:name="_GoBack"/>
      <w:bookmarkEnd w:id="0"/>
    </w:p>
    <w:p w14:paraId="0EE66A0E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(1) </w:t>
      </w:r>
      <w:r>
        <w:rPr>
          <w:rFonts w:hint="eastAsia" w:ascii="仿宋" w:hAnsi="仿宋" w:eastAsia="仿宋" w:cs="宋体"/>
          <w:sz w:val="30"/>
          <w:szCs w:val="30"/>
        </w:rPr>
        <w:t>市政环卫作业市场化招标文件的要点分析、投标文件格式分析；</w:t>
      </w:r>
    </w:p>
    <w:p w14:paraId="387F56A8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(2) </w:t>
      </w:r>
      <w:r>
        <w:rPr>
          <w:rFonts w:hint="eastAsia" w:ascii="仿宋" w:hAnsi="仿宋" w:eastAsia="仿宋" w:cs="宋体"/>
          <w:sz w:val="30"/>
          <w:szCs w:val="30"/>
        </w:rPr>
        <w:t>环卫企业投标书制作的投标文件、投标决策、案例解析；</w:t>
      </w:r>
    </w:p>
    <w:p w14:paraId="082C2E05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(3) </w:t>
      </w:r>
      <w:r>
        <w:rPr>
          <w:rFonts w:hint="eastAsia" w:ascii="仿宋" w:hAnsi="仿宋" w:eastAsia="仿宋" w:cs="宋体"/>
          <w:sz w:val="30"/>
          <w:szCs w:val="30"/>
        </w:rPr>
        <w:t>环卫企业投标书制作中的投标报价技巧、投标编制技巧；</w:t>
      </w:r>
    </w:p>
    <w:p w14:paraId="21EE3821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(4) </w:t>
      </w:r>
      <w:r>
        <w:rPr>
          <w:rFonts w:hint="eastAsia" w:ascii="仿宋" w:hAnsi="仿宋" w:eastAsia="仿宋" w:cs="宋体"/>
          <w:sz w:val="30"/>
          <w:szCs w:val="30"/>
        </w:rPr>
        <w:t>环卫项目重难点分析与解决措施；</w:t>
      </w:r>
    </w:p>
    <w:p w14:paraId="4AEC1A50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(5) </w:t>
      </w:r>
      <w:r>
        <w:rPr>
          <w:rFonts w:hint="eastAsia" w:ascii="仿宋" w:hAnsi="仿宋" w:eastAsia="仿宋" w:cs="宋体"/>
          <w:sz w:val="30"/>
          <w:szCs w:val="30"/>
        </w:rPr>
        <w:t>环卫项目运营的成本管控、作业模式优化；</w:t>
      </w:r>
    </w:p>
    <w:p w14:paraId="5EBA3E1C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(6) </w:t>
      </w:r>
      <w:r>
        <w:rPr>
          <w:rFonts w:hint="eastAsia" w:ascii="仿宋" w:hAnsi="仿宋" w:eastAsia="仿宋" w:cs="宋体"/>
          <w:sz w:val="30"/>
          <w:szCs w:val="30"/>
        </w:rPr>
        <w:t>环卫项目的人员优化与风险控制；</w:t>
      </w:r>
    </w:p>
    <w:p w14:paraId="29EDAA37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(7) </w:t>
      </w:r>
      <w:r>
        <w:rPr>
          <w:rFonts w:hint="eastAsia" w:ascii="仿宋" w:hAnsi="仿宋" w:eastAsia="仿宋" w:cs="宋体"/>
          <w:sz w:val="30"/>
          <w:szCs w:val="30"/>
        </w:rPr>
        <w:t>城市环卫保洁精细化管理、道路清运保洁标准制定奖惩机制；</w:t>
      </w:r>
    </w:p>
    <w:p w14:paraId="1DA7C4FE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(8) </w:t>
      </w:r>
      <w:r>
        <w:rPr>
          <w:rFonts w:hint="eastAsia" w:ascii="仿宋" w:hAnsi="仿宋" w:eastAsia="仿宋" w:cs="宋体"/>
          <w:sz w:val="30"/>
          <w:szCs w:val="30"/>
        </w:rPr>
        <w:t>城市生活垃圾经营性清扫、收集、运输、处置及分类回收体系；</w:t>
      </w:r>
    </w:p>
    <w:p w14:paraId="483D02EA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(9) </w:t>
      </w:r>
      <w:r>
        <w:rPr>
          <w:rFonts w:hint="eastAsia" w:ascii="仿宋" w:hAnsi="仿宋" w:eastAsia="仿宋" w:cs="宋体"/>
          <w:sz w:val="30"/>
          <w:szCs w:val="30"/>
        </w:rPr>
        <w:t>生活垃圾分类处理的新模式及对策；</w:t>
      </w:r>
    </w:p>
    <w:p w14:paraId="67A59F26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(10) </w:t>
      </w:r>
      <w:r>
        <w:rPr>
          <w:rFonts w:hint="eastAsia" w:ascii="仿宋" w:hAnsi="仿宋" w:eastAsia="仿宋" w:cs="宋体"/>
          <w:sz w:val="30"/>
          <w:szCs w:val="30"/>
        </w:rPr>
        <w:t>垃圾分类顶层设计及案例分项；</w:t>
      </w:r>
    </w:p>
    <w:p w14:paraId="57D77455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(11) </w:t>
      </w:r>
      <w:r>
        <w:rPr>
          <w:rFonts w:hint="eastAsia" w:ascii="仿宋" w:hAnsi="仿宋" w:eastAsia="仿宋" w:cs="宋体"/>
          <w:sz w:val="30"/>
          <w:szCs w:val="30"/>
        </w:rPr>
        <w:t>垃圾分类常见误区及行业发展方向；</w:t>
      </w:r>
    </w:p>
    <w:p w14:paraId="7F96C08F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(12)</w:t>
      </w:r>
      <w:r>
        <w:rPr>
          <w:rFonts w:hint="eastAsia" w:ascii="仿宋" w:hAnsi="仿宋" w:eastAsia="仿宋" w:cs="宋体"/>
          <w:sz w:val="30"/>
          <w:szCs w:val="30"/>
        </w:rPr>
        <w:t>智慧环卫基础数据平台和智慧环卫大数据平台；</w:t>
      </w:r>
    </w:p>
    <w:p w14:paraId="55662C6D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(13) </w:t>
      </w:r>
      <w:r>
        <w:rPr>
          <w:rFonts w:hint="eastAsia" w:ascii="仿宋" w:hAnsi="仿宋" w:eastAsia="仿宋" w:cs="宋体"/>
          <w:sz w:val="30"/>
          <w:szCs w:val="30"/>
        </w:rPr>
        <w:t>环卫信息化在道路作业、垃圾处理体系和市容环境监测质量的应用；</w:t>
      </w:r>
    </w:p>
    <w:p w14:paraId="4BC342D0">
      <w:pPr>
        <w:spacing w:line="360" w:lineRule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(14)</w:t>
      </w:r>
      <w:r>
        <w:rPr>
          <w:rFonts w:hint="eastAsia" w:ascii="仿宋" w:hAnsi="仿宋" w:eastAsia="仿宋" w:cs="宋体"/>
          <w:sz w:val="30"/>
          <w:szCs w:val="30"/>
        </w:rPr>
        <w:t>环卫信息化的人员监管、车辆监管、设施监管、清运保洁监管、源头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 w:cs="宋体"/>
          <w:sz w:val="30"/>
          <w:szCs w:val="30"/>
        </w:rPr>
        <w:t>监管和环卫监督考核系统与辅助决策管理系统；</w:t>
      </w:r>
    </w:p>
    <w:p w14:paraId="40683FD1">
      <w:pPr>
        <w:spacing w:line="360" w:lineRule="auto"/>
        <w:rPr>
          <w:rFonts w:hint="eastAsia" w:ascii="仿宋" w:hAnsi="仿宋" w:eastAsia="仿宋" w:cs="宋体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(1</w:t>
      </w:r>
      <w:r>
        <w:rPr>
          <w:rFonts w:hint="eastAsia" w:ascii="仿宋" w:hAnsi="仿宋" w:eastAsia="仿宋"/>
          <w:sz w:val="30"/>
          <w:szCs w:val="30"/>
        </w:rPr>
        <w:t>5</w:t>
      </w:r>
      <w:r>
        <w:rPr>
          <w:rFonts w:ascii="仿宋" w:hAnsi="仿宋" w:eastAsia="仿宋"/>
          <w:sz w:val="30"/>
          <w:szCs w:val="30"/>
        </w:rPr>
        <w:t>)</w:t>
      </w:r>
      <w:r>
        <w:rPr>
          <w:rFonts w:hint="eastAsia" w:ascii="仿宋" w:hAnsi="仿宋" w:eastAsia="仿宋" w:cs="宋体"/>
          <w:sz w:val="30"/>
          <w:szCs w:val="30"/>
        </w:rPr>
        <w:t>市政设施养护与物业管理项目运营。</w:t>
      </w:r>
    </w:p>
    <w:p w14:paraId="7F6FF83C">
      <w:pPr>
        <w:spacing w:line="360" w:lineRule="auto"/>
        <w:rPr>
          <w:rFonts w:hint="eastAsia" w:ascii="仿宋" w:hAnsi="仿宋" w:eastAsia="仿宋" w:cs="宋体"/>
          <w:sz w:val="30"/>
          <w:szCs w:val="30"/>
        </w:rPr>
      </w:pPr>
    </w:p>
    <w:p w14:paraId="751662E2">
      <w:pPr>
        <w:spacing w:line="360" w:lineRule="auto"/>
        <w:rPr>
          <w:rFonts w:hint="eastAsia" w:ascii="仿宋" w:hAnsi="仿宋" w:eastAsia="仿宋" w:cs="宋体"/>
          <w:sz w:val="30"/>
          <w:szCs w:val="30"/>
        </w:rPr>
      </w:pPr>
    </w:p>
    <w:p w14:paraId="72AA7958">
      <w:pPr>
        <w:spacing w:line="360" w:lineRule="auto"/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</w:p>
    <w:sectPr>
      <w:footerReference r:id="rId3" w:type="default"/>
      <w:pgSz w:w="11907" w:h="16839"/>
      <w:pgMar w:top="1418" w:right="1361" w:bottom="1134" w:left="1361" w:header="0" w:footer="98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1D4A35-AA68-4EB2-813C-0907293F7B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A37DDF3-3789-4C15-85BE-0D28DCE098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50864451"/>
      <w:docPartObj>
        <w:docPartGallery w:val="AutoText"/>
      </w:docPartObj>
    </w:sdtPr>
    <w:sdtContent>
      <w:p w14:paraId="64C90683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74A0FF">
    <w:pPr>
      <w:spacing w:line="186" w:lineRule="auto"/>
      <w:ind w:right="96"/>
      <w:jc w:val="right"/>
      <w:rPr>
        <w:rFonts w:ascii="Times New Roman" w:hAnsi="Times New Roman" w:eastAsia="Times New Roman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57"/>
    <w:rsid w:val="001B7B46"/>
    <w:rsid w:val="00300B34"/>
    <w:rsid w:val="00312439"/>
    <w:rsid w:val="00353DB9"/>
    <w:rsid w:val="0046539E"/>
    <w:rsid w:val="00482FAA"/>
    <w:rsid w:val="006366FF"/>
    <w:rsid w:val="006A6269"/>
    <w:rsid w:val="006B797F"/>
    <w:rsid w:val="0073068C"/>
    <w:rsid w:val="0089273B"/>
    <w:rsid w:val="008A1F0F"/>
    <w:rsid w:val="00903467"/>
    <w:rsid w:val="009323B1"/>
    <w:rsid w:val="00941156"/>
    <w:rsid w:val="00A70E7D"/>
    <w:rsid w:val="00AC6CE8"/>
    <w:rsid w:val="00B507BE"/>
    <w:rsid w:val="00CC31FB"/>
    <w:rsid w:val="00CC7EE6"/>
    <w:rsid w:val="00D16E57"/>
    <w:rsid w:val="00D45231"/>
    <w:rsid w:val="00DE71E5"/>
    <w:rsid w:val="00E0196B"/>
    <w:rsid w:val="00E31FB5"/>
    <w:rsid w:val="00E674D4"/>
    <w:rsid w:val="00EA15DB"/>
    <w:rsid w:val="00FD2A43"/>
    <w:rsid w:val="36FA4DFD"/>
    <w:rsid w:val="4DCD7C9F"/>
    <w:rsid w:val="680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5"/>
    <w:link w:val="3"/>
    <w:qFormat/>
    <w:uiPriority w:val="99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0">
    <w:name w:val="未处理的提及1"/>
    <w:basedOn w:val="5"/>
    <w:qFormat/>
    <w:uiPriority w:val="99"/>
    <w:rPr>
      <w:color w:val="605E5C"/>
      <w:shd w:val="clear" w:color="auto" w:fill="E1DFDD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1692</Words>
  <Characters>1816</Characters>
  <Lines>61</Lines>
  <Paragraphs>67</Paragraphs>
  <TotalTime>57</TotalTime>
  <ScaleCrop>false</ScaleCrop>
  <LinksUpToDate>false</LinksUpToDate>
  <CharactersWithSpaces>1911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2026-06-25T02:56:00Z</dcterms:created>
  <dc:creator>jin</dc:creator>
  <cp:lastModifiedBy>admin</cp:lastModifiedBy>
  <cp:lastPrinted>2026-06-25T03:44:00Z</cp:lastPrinted>
  <dcterms:modified xsi:type="dcterms:W3CDTF">2026-09-01T06:00:24Z</dcterms:modified>
  <dc:title>建设部政策研究中心文件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2023-06-06T09:17:37Z</vt:filetime>
  </property>
  <property fmtid="{D5CDD505-2E9C-101B-9397-08002B2CF9AE}" pid="4" name="UsrData">
    <vt:lpwstr>647e8928055031001f513623</vt:lpwstr>
  </property>
  <property fmtid="{D5CDD505-2E9C-101B-9397-08002B2CF9AE}" pid="5" name="KSOProductBuildVer">
    <vt:lpwstr>2052-12.1.0.28043</vt:lpwstr>
  </property>
  <property fmtid="{D5CDD505-2E9C-101B-9397-08002B2CF9AE}" pid="6" name="ICV">
    <vt:lpwstr>4C53037E93C2499B969621E65A6281BC_13</vt:lpwstr>
  </property>
  <property fmtid="{D5CDD505-2E9C-101B-9397-08002B2CF9AE}" pid="7" name="KSOTemplateDocerSaveRecord">
    <vt:lpwstr>eyJoZGlkIjoiYTY4OTBiZGM4MWRhYzAxMTMwZjQyYWM4M2NhZTYzMTcifQ==</vt:lpwstr>
  </property>
</Properties>
</file>