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B03F8">
      <w:pPr>
        <w:spacing w:line="360" w:lineRule="auto"/>
        <w:rPr>
          <w:rFonts w:hint="eastAsia" w:ascii="黑体" w:hAnsi="黑体" w:eastAsia="黑体" w:cs="宋体"/>
          <w:sz w:val="32"/>
          <w:szCs w:val="32"/>
        </w:rPr>
      </w:pPr>
      <w:bookmarkStart w:id="0" w:name="_GoBack"/>
      <w:bookmarkEnd w:id="0"/>
      <w:r>
        <w:rPr>
          <w:rFonts w:hint="eastAsia" w:ascii="黑体" w:hAnsi="黑体" w:eastAsia="黑体" w:cs="宋体"/>
          <w:sz w:val="32"/>
          <w:szCs w:val="32"/>
        </w:rPr>
        <w:t>附件2</w:t>
      </w:r>
    </w:p>
    <w:p w14:paraId="5568EA04">
      <w:pPr>
        <w:spacing w:line="360" w:lineRule="auto"/>
        <w:jc w:val="center"/>
        <w:rPr>
          <w:rFonts w:hint="eastAsia" w:ascii="仿宋" w:hAnsi="仿宋" w:eastAsia="仿宋"/>
          <w:b/>
          <w:bCs/>
          <w:sz w:val="44"/>
          <w:szCs w:val="44"/>
        </w:rPr>
      </w:pPr>
      <w:r>
        <w:rPr>
          <w:rFonts w:hint="eastAsia" w:ascii="仿宋" w:hAnsi="仿宋" w:eastAsia="仿宋"/>
          <w:b/>
          <w:bCs/>
          <w:sz w:val="44"/>
          <w:szCs w:val="44"/>
        </w:rPr>
        <w:t>师资介绍</w:t>
      </w:r>
    </w:p>
    <w:p w14:paraId="547B67A9">
      <w:pPr>
        <w:spacing w:line="360" w:lineRule="auto"/>
        <w:ind w:firstLine="602" w:firstLineChars="200"/>
        <w:rPr>
          <w:rFonts w:hint="eastAsia" w:ascii="仿宋" w:hAnsi="仿宋" w:eastAsia="仿宋"/>
          <w:b/>
          <w:bCs/>
          <w:sz w:val="30"/>
          <w:szCs w:val="30"/>
        </w:rPr>
      </w:pPr>
      <w:r>
        <w:rPr>
          <w:rFonts w:ascii="仿宋" w:hAnsi="仿宋" w:eastAsia="仿宋"/>
          <w:b/>
          <w:bCs/>
          <w:sz w:val="30"/>
          <w:szCs w:val="30"/>
        </w:rPr>
        <w:t>1.</w:t>
      </w:r>
      <w:r>
        <w:rPr>
          <w:rFonts w:hint="eastAsia" w:ascii="仿宋" w:hAnsi="仿宋" w:eastAsia="仿宋"/>
          <w:b/>
          <w:bCs/>
          <w:sz w:val="30"/>
          <w:szCs w:val="30"/>
        </w:rPr>
        <w:t>蒋秀成</w:t>
      </w:r>
    </w:p>
    <w:p w14:paraId="1D44AF3D">
      <w:pPr>
        <w:spacing w:line="360" w:lineRule="auto"/>
        <w:ind w:firstLine="600" w:firstLineChars="200"/>
        <w:jc w:val="both"/>
        <w:rPr>
          <w:rFonts w:hint="eastAsia" w:ascii="仿宋" w:hAnsi="仿宋" w:eastAsia="仿宋"/>
          <w:sz w:val="30"/>
          <w:szCs w:val="30"/>
        </w:rPr>
      </w:pPr>
      <w:r>
        <w:rPr>
          <w:rFonts w:hint="eastAsia" w:ascii="仿宋" w:hAnsi="仿宋" w:eastAsia="仿宋"/>
          <w:sz w:val="30"/>
          <w:szCs w:val="30"/>
        </w:rPr>
        <w:t>背景：华中农业大学生物工程专业毕业；</w:t>
      </w:r>
      <w:r>
        <w:rPr>
          <w:rFonts w:ascii="仿宋" w:hAnsi="仿宋" w:eastAsia="仿宋"/>
          <w:sz w:val="30"/>
          <w:szCs w:val="30"/>
        </w:rPr>
        <w:t>2006–2014</w:t>
      </w:r>
      <w:r>
        <w:rPr>
          <w:rFonts w:hint="eastAsia" w:ascii="仿宋" w:hAnsi="仿宋" w:eastAsia="仿宋"/>
          <w:sz w:val="30"/>
          <w:szCs w:val="30"/>
        </w:rPr>
        <w:t>年深圳环亮环境集团副总经理；</w:t>
      </w:r>
      <w:r>
        <w:rPr>
          <w:rFonts w:ascii="仿宋" w:hAnsi="仿宋" w:eastAsia="仿宋"/>
          <w:sz w:val="30"/>
          <w:szCs w:val="30"/>
        </w:rPr>
        <w:t>2014–2022</w:t>
      </w:r>
      <w:r>
        <w:rPr>
          <w:rFonts w:hint="eastAsia" w:ascii="仿宋" w:hAnsi="仿宋" w:eastAsia="仿宋"/>
          <w:sz w:val="30"/>
          <w:szCs w:val="30"/>
        </w:rPr>
        <w:t>年鸿鑫环境科技公司法人</w:t>
      </w:r>
      <w:r>
        <w:rPr>
          <w:rFonts w:ascii="仿宋" w:hAnsi="仿宋" w:eastAsia="仿宋"/>
          <w:sz w:val="30"/>
          <w:szCs w:val="30"/>
        </w:rPr>
        <w:t>/</w:t>
      </w:r>
      <w:r>
        <w:rPr>
          <w:rFonts w:hint="eastAsia" w:ascii="仿宋" w:hAnsi="仿宋" w:eastAsia="仿宋"/>
          <w:sz w:val="30"/>
          <w:szCs w:val="30"/>
        </w:rPr>
        <w:t>总经理；现任广州环卫行业协会总顾问。</w:t>
      </w:r>
    </w:p>
    <w:p w14:paraId="6F037FC3">
      <w:pPr>
        <w:spacing w:line="360" w:lineRule="auto"/>
        <w:ind w:firstLine="600" w:firstLineChars="200"/>
        <w:jc w:val="both"/>
        <w:rPr>
          <w:rFonts w:hint="eastAsia" w:ascii="仿宋" w:hAnsi="仿宋" w:eastAsia="仿宋"/>
          <w:sz w:val="30"/>
          <w:szCs w:val="30"/>
        </w:rPr>
      </w:pPr>
      <w:r>
        <w:rPr>
          <w:rFonts w:hint="eastAsia" w:ascii="仿宋" w:hAnsi="仿宋" w:eastAsia="仿宋"/>
          <w:sz w:val="30"/>
          <w:szCs w:val="30"/>
        </w:rPr>
        <w:t>资历：超过</w:t>
      </w:r>
      <w:r>
        <w:rPr>
          <w:rFonts w:ascii="仿宋" w:hAnsi="仿宋" w:eastAsia="仿宋"/>
          <w:sz w:val="30"/>
          <w:szCs w:val="30"/>
        </w:rPr>
        <w:t>20</w:t>
      </w:r>
      <w:r>
        <w:rPr>
          <w:rFonts w:hint="eastAsia" w:ascii="仿宋" w:hAnsi="仿宋" w:eastAsia="仿宋"/>
          <w:sz w:val="30"/>
          <w:szCs w:val="30"/>
        </w:rPr>
        <w:t>年环卫行业从业经验，参与进场、运营、管理各类项目约</w:t>
      </w:r>
      <w:r>
        <w:rPr>
          <w:rFonts w:ascii="仿宋" w:hAnsi="仿宋" w:eastAsia="仿宋"/>
          <w:sz w:val="30"/>
          <w:szCs w:val="30"/>
        </w:rPr>
        <w:t>400</w:t>
      </w:r>
      <w:r>
        <w:rPr>
          <w:rFonts w:hint="eastAsia" w:ascii="仿宋" w:hAnsi="仿宋" w:eastAsia="仿宋"/>
          <w:sz w:val="30"/>
          <w:szCs w:val="30"/>
        </w:rPr>
        <w:t>个，实战型专家。</w:t>
      </w:r>
    </w:p>
    <w:p w14:paraId="3D83E24A">
      <w:pPr>
        <w:spacing w:line="360" w:lineRule="auto"/>
        <w:ind w:firstLine="600" w:firstLineChars="200"/>
        <w:jc w:val="both"/>
        <w:rPr>
          <w:rFonts w:hint="eastAsia" w:ascii="仿宋" w:hAnsi="仿宋" w:eastAsia="仿宋"/>
          <w:sz w:val="30"/>
          <w:szCs w:val="30"/>
        </w:rPr>
      </w:pPr>
      <w:r>
        <w:rPr>
          <w:rFonts w:hint="eastAsia" w:ascii="仿宋" w:hAnsi="仿宋" w:eastAsia="仿宋"/>
          <w:sz w:val="30"/>
          <w:szCs w:val="30"/>
        </w:rPr>
        <w:t>主讲内容：《人工成本分析及管理》《车辆设备采购与运营成本分析管理》《内部突发事件处理流程与标准》《项目前期配置内容与方法》《投标实务及项目运营管理》。</w:t>
      </w:r>
    </w:p>
    <w:p w14:paraId="4E0C243A">
      <w:pPr>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2.黄庭梁</w:t>
      </w:r>
    </w:p>
    <w:p w14:paraId="42D6A4E7">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背景：清华大学计算机硕士，</w:t>
      </w:r>
      <w:r>
        <w:rPr>
          <w:rFonts w:ascii="仿宋" w:hAnsi="仿宋" w:eastAsia="仿宋"/>
          <w:sz w:val="30"/>
          <w:szCs w:val="30"/>
        </w:rPr>
        <w:t>2003</w:t>
      </w:r>
      <w:r>
        <w:rPr>
          <w:rFonts w:hint="eastAsia" w:ascii="仿宋" w:hAnsi="仿宋" w:eastAsia="仿宋"/>
          <w:sz w:val="30"/>
          <w:szCs w:val="30"/>
        </w:rPr>
        <w:t>年创立北京创亿新世纪科技发展有限公司并任董事长；参与编写北京市地方标准《环卫作业运输车辆监控仪通用技术条件》、参与《北京市建筑垃圾综合处理对策的研究》《生活垃圾粪便处理设施运行评价准则》编制；中国城市环卫协会智慧环卫领域资深专家。</w:t>
      </w:r>
    </w:p>
    <w:p w14:paraId="3F8117F8">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资历：长期从事环卫行业信息化系统建设与智慧环卫平台研发推广。</w:t>
      </w:r>
    </w:p>
    <w:p w14:paraId="56816E11">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主讲内容：《智慧环卫管理系统》《道路作业系统》《环卫行业业务信息管理系统》。</w:t>
      </w:r>
    </w:p>
    <w:p w14:paraId="72AA7958">
      <w:pPr>
        <w:spacing w:line="360" w:lineRule="auto"/>
        <w:ind w:firstLine="602" w:firstLineChars="200"/>
        <w:rPr>
          <w:rFonts w:hint="eastAsia" w:ascii="仿宋" w:hAnsi="仿宋" w:eastAsia="仿宋"/>
          <w:b/>
          <w:bCs/>
          <w:sz w:val="30"/>
          <w:szCs w:val="30"/>
        </w:rPr>
      </w:pPr>
      <w:r>
        <w:rPr>
          <w:rFonts w:hint="eastAsia" w:ascii="仿宋" w:hAnsi="仿宋" w:eastAsia="仿宋"/>
          <w:b/>
          <w:bCs/>
          <w:sz w:val="30"/>
          <w:szCs w:val="30"/>
        </w:rPr>
        <w:t>另可视情况聘请住建部相关部门专家或院校知名教授做政策解读与专题授课。</w:t>
      </w:r>
    </w:p>
    <w:sectPr>
      <w:footerReference r:id="rId3" w:type="default"/>
      <w:pgSz w:w="11907" w:h="16839"/>
      <w:pgMar w:top="1418" w:right="1361" w:bottom="1134" w:left="1361" w:header="0" w:footer="98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0864451"/>
      <w:docPartObj>
        <w:docPartGallery w:val="autotext"/>
      </w:docPartObj>
    </w:sdtPr>
    <w:sdtContent>
      <w:p w14:paraId="64C90683">
        <w:pPr>
          <w:pStyle w:val="2"/>
          <w:jc w:val="center"/>
        </w:pPr>
        <w:r>
          <w:fldChar w:fldCharType="begin"/>
        </w:r>
        <w:r>
          <w:instrText xml:space="preserve">PAGE   \* MERGEFORMAT</w:instrText>
        </w:r>
        <w:r>
          <w:fldChar w:fldCharType="separate"/>
        </w:r>
        <w:r>
          <w:rPr>
            <w:lang w:val="zh-CN"/>
          </w:rPr>
          <w:t>2</w:t>
        </w:r>
        <w:r>
          <w:fldChar w:fldCharType="end"/>
        </w:r>
      </w:p>
    </w:sdtContent>
  </w:sdt>
  <w:p w14:paraId="4F74A0FF">
    <w:pPr>
      <w:spacing w:line="186" w:lineRule="auto"/>
      <w:ind w:right="96"/>
      <w:jc w:val="right"/>
      <w:rPr>
        <w:rFonts w:ascii="Times New Roman" w:hAnsi="Times New Roman" w:eastAsia="Times New Roman" w:cs="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E57"/>
    <w:rsid w:val="001B7B46"/>
    <w:rsid w:val="00300B34"/>
    <w:rsid w:val="00312439"/>
    <w:rsid w:val="00353DB9"/>
    <w:rsid w:val="0046539E"/>
    <w:rsid w:val="00482FAA"/>
    <w:rsid w:val="006366FF"/>
    <w:rsid w:val="006A6269"/>
    <w:rsid w:val="006B797F"/>
    <w:rsid w:val="0073068C"/>
    <w:rsid w:val="0089273B"/>
    <w:rsid w:val="008A1F0F"/>
    <w:rsid w:val="00903467"/>
    <w:rsid w:val="009323B1"/>
    <w:rsid w:val="00941156"/>
    <w:rsid w:val="00A70E7D"/>
    <w:rsid w:val="00AC6CE8"/>
    <w:rsid w:val="00B507BE"/>
    <w:rsid w:val="00CC31FB"/>
    <w:rsid w:val="00CC7EE6"/>
    <w:rsid w:val="00D16E57"/>
    <w:rsid w:val="00D45231"/>
    <w:rsid w:val="00DE71E5"/>
    <w:rsid w:val="00E0196B"/>
    <w:rsid w:val="00E31FB5"/>
    <w:rsid w:val="00E674D4"/>
    <w:rsid w:val="00EA15DB"/>
    <w:rsid w:val="00FD2A43"/>
    <w:rsid w:val="05A5085F"/>
    <w:rsid w:val="67494AF8"/>
    <w:rsid w:val="680E1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pPr>
    <w:rPr>
      <w:sz w:val="18"/>
      <w:szCs w:val="18"/>
    </w:rPr>
  </w:style>
  <w:style w:type="paragraph" w:styleId="3">
    <w:name w:val="header"/>
    <w:basedOn w:val="1"/>
    <w:link w:val="8"/>
    <w:qFormat/>
    <w:uiPriority w:val="99"/>
    <w:pPr>
      <w:tabs>
        <w:tab w:val="center" w:pos="4153"/>
        <w:tab w:val="right" w:pos="8306"/>
      </w:tabs>
      <w:jc w:val="center"/>
    </w:pPr>
    <w:rPr>
      <w:sz w:val="18"/>
      <w:szCs w:val="18"/>
    </w:rPr>
  </w:style>
  <w:style w:type="character" w:styleId="6">
    <w:name w:val="Hyperlink"/>
    <w:basedOn w:val="5"/>
    <w:qFormat/>
    <w:uiPriority w:val="99"/>
    <w:rPr>
      <w:color w:val="0000FF"/>
      <w:u w:val="single"/>
    </w:rPr>
  </w:style>
  <w:style w:type="table" w:customStyle="1" w:styleId="7">
    <w:name w:val="Table Normal"/>
    <w:qFormat/>
    <w:uiPriority w:val="0"/>
    <w:tblPr>
      <w:tblCellMar>
        <w:top w:w="0" w:type="dxa"/>
        <w:left w:w="0" w:type="dxa"/>
        <w:bottom w:w="0" w:type="dxa"/>
        <w:right w:w="0" w:type="dxa"/>
      </w:tblCellMar>
    </w:tblPr>
  </w:style>
  <w:style w:type="character" w:customStyle="1" w:styleId="8">
    <w:name w:val="页眉 字符"/>
    <w:basedOn w:val="5"/>
    <w:link w:val="3"/>
    <w:qFormat/>
    <w:uiPriority w:val="99"/>
    <w:rPr>
      <w:rFonts w:ascii="Arial" w:hAnsi="Arial" w:eastAsia="Arial" w:cs="Arial"/>
      <w:snapToGrid w:val="0"/>
      <w:color w:val="000000"/>
      <w:sz w:val="18"/>
      <w:szCs w:val="18"/>
    </w:rPr>
  </w:style>
  <w:style w:type="character" w:customStyle="1" w:styleId="9">
    <w:name w:val="页脚 字符"/>
    <w:basedOn w:val="5"/>
    <w:link w:val="2"/>
    <w:qFormat/>
    <w:uiPriority w:val="99"/>
    <w:rPr>
      <w:rFonts w:ascii="Arial" w:hAnsi="Arial" w:eastAsia="Arial" w:cs="Arial"/>
      <w:snapToGrid w:val="0"/>
      <w:color w:val="000000"/>
      <w:sz w:val="18"/>
      <w:szCs w:val="18"/>
    </w:rPr>
  </w:style>
  <w:style w:type="character" w:customStyle="1" w:styleId="10">
    <w:name w:val="未处理的提及1"/>
    <w:basedOn w:val="5"/>
    <w:qFormat/>
    <w:uiPriority w:val="99"/>
    <w:rPr>
      <w:color w:val="605E5C"/>
      <w:shd w:val="clear" w:color="auto" w:fill="E1DFDD"/>
    </w:rPr>
  </w:style>
  <w:style w:type="character" w:customStyle="1" w:styleId="11">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1692</Words>
  <Characters>1816</Characters>
  <Lines>61</Lines>
  <Paragraphs>67</Paragraphs>
  <TotalTime>39</TotalTime>
  <ScaleCrop>false</ScaleCrop>
  <LinksUpToDate>false</LinksUpToDate>
  <CharactersWithSpaces>1911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2026-06-25T02:56:00Z</dcterms:created>
  <dc:creator>jin</dc:creator>
  <cp:lastModifiedBy>admin</cp:lastModifiedBy>
  <cp:lastPrinted>2026-06-25T03:44:00Z</cp:lastPrinted>
  <dcterms:modified xsi:type="dcterms:W3CDTF">2026-09-01T06:05:45Z</dcterms:modified>
  <dc:title>建设部政策研究中心文件</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2023-06-06T09:17:37Z</vt:filetime>
  </property>
  <property fmtid="{D5CDD505-2E9C-101B-9397-08002B2CF9AE}" pid="4" name="UsrData">
    <vt:lpwstr>647e8928055031001f513623</vt:lpwstr>
  </property>
  <property fmtid="{D5CDD505-2E9C-101B-9397-08002B2CF9AE}" pid="5" name="KSOProductBuildVer">
    <vt:lpwstr>2052-12.1.0.28043</vt:lpwstr>
  </property>
  <property fmtid="{D5CDD505-2E9C-101B-9397-08002B2CF9AE}" pid="6" name="ICV">
    <vt:lpwstr>1762B6FEB5E448CB980019AA28C2A4F2_13</vt:lpwstr>
  </property>
  <property fmtid="{D5CDD505-2E9C-101B-9397-08002B2CF9AE}" pid="7" name="KSOTemplateDocerSaveRecord">
    <vt:lpwstr>eyJoZGlkIjoiYTY4OTBiZGM4MWRhYzAxMTMwZjQyYWM4M2NhZTYzMTcifQ==</vt:lpwstr>
  </property>
</Properties>
</file>